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6681"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Riigihangete vaidlustuskomisjon</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t>26.02.2025</w:t>
      </w:r>
    </w:p>
    <w:p w14:paraId="167F57C1"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Tartu mnt 85</w:t>
      </w:r>
    </w:p>
    <w:p w14:paraId="2E564861"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10115 Tallinn</w:t>
      </w:r>
    </w:p>
    <w:p w14:paraId="3F236CBB" w14:textId="77777777" w:rsidR="00A94BE1" w:rsidRPr="00A94BE1" w:rsidRDefault="00A94BE1" w:rsidP="00A94BE1">
      <w:pPr>
        <w:jc w:val="both"/>
        <w:rPr>
          <w:rFonts w:ascii="Palatino Linotype" w:hAnsi="Palatino Linotype"/>
          <w:sz w:val="22"/>
          <w:szCs w:val="22"/>
          <w:lang w:val="et-EE"/>
        </w:rPr>
      </w:pPr>
    </w:p>
    <w:p w14:paraId="4D0F2450" w14:textId="77777777" w:rsidR="00A94BE1" w:rsidRPr="00A94BE1" w:rsidRDefault="00821881" w:rsidP="00A94BE1">
      <w:pPr>
        <w:jc w:val="both"/>
        <w:rPr>
          <w:rFonts w:ascii="Palatino Linotype" w:hAnsi="Palatino Linotype"/>
          <w:sz w:val="22"/>
          <w:szCs w:val="22"/>
          <w:lang w:val="et-EE"/>
        </w:rPr>
      </w:pPr>
      <w:r>
        <w:rPr>
          <w:rFonts w:ascii="Palatino Linotype" w:hAnsi="Palatino Linotype"/>
          <w:sz w:val="22"/>
          <w:szCs w:val="22"/>
          <w:lang w:val="et-EE"/>
        </w:rPr>
        <w:t xml:space="preserve">Edastatud e-posti teel: </w:t>
      </w:r>
      <w:r>
        <w:rPr>
          <w:rFonts w:ascii="Palatino Linotype" w:hAnsi="Palatino Linotype"/>
          <w:sz w:val="22"/>
          <w:szCs w:val="22"/>
          <w:lang w:val="et-EE"/>
        </w:rPr>
        <w:tab/>
      </w:r>
      <w:r w:rsidR="00A94BE1" w:rsidRPr="00A94BE1">
        <w:rPr>
          <w:rFonts w:ascii="Palatino Linotype" w:hAnsi="Palatino Linotype"/>
          <w:sz w:val="22"/>
          <w:szCs w:val="22"/>
          <w:lang w:val="et-EE"/>
        </w:rPr>
        <w:t xml:space="preserve">vako@fin.ee </w:t>
      </w:r>
    </w:p>
    <w:p w14:paraId="58F0FDDB" w14:textId="77777777" w:rsidR="00A94BE1" w:rsidRPr="00A94BE1" w:rsidRDefault="00A94BE1" w:rsidP="00A94BE1">
      <w:pPr>
        <w:jc w:val="both"/>
        <w:rPr>
          <w:rFonts w:ascii="Palatino Linotype" w:hAnsi="Palatino Linotype"/>
          <w:sz w:val="22"/>
          <w:szCs w:val="22"/>
          <w:lang w:val="et-EE"/>
        </w:rPr>
      </w:pPr>
    </w:p>
    <w:p w14:paraId="3047B0DF"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Vaidlustaja:</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t>OSAÜHING VAN DER KNOX (registrikood 10789499)</w:t>
      </w:r>
    </w:p>
    <w:p w14:paraId="49592D95"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sz w:val="22"/>
          <w:szCs w:val="22"/>
          <w:lang w:val="et-EE"/>
        </w:rPr>
        <w:t>Artelli 10b</w:t>
      </w:r>
    </w:p>
    <w:p w14:paraId="7D368D69"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t>10617 Tallinn</w:t>
      </w:r>
    </w:p>
    <w:p w14:paraId="30DBDEA5" w14:textId="77777777" w:rsidR="00A94BE1" w:rsidRPr="00A94BE1" w:rsidRDefault="00A94BE1" w:rsidP="00A94BE1">
      <w:pPr>
        <w:jc w:val="both"/>
        <w:rPr>
          <w:rFonts w:ascii="Palatino Linotype" w:hAnsi="Palatino Linotype"/>
          <w:sz w:val="22"/>
          <w:szCs w:val="22"/>
          <w:lang w:val="et-EE"/>
        </w:rPr>
      </w:pPr>
    </w:p>
    <w:p w14:paraId="7DF93030"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Vaidlustaja esindaja:</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t>juhatuse liige Lauri Valk</w:t>
      </w:r>
    </w:p>
    <w:p w14:paraId="5BBA8FE1"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sz w:val="22"/>
          <w:szCs w:val="22"/>
          <w:lang w:val="et-EE"/>
        </w:rPr>
        <w:t>T: 5119 434</w:t>
      </w:r>
    </w:p>
    <w:p w14:paraId="1F2EA10D"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t>E: lauri@autokeemia.ee</w:t>
      </w:r>
    </w:p>
    <w:p w14:paraId="5AE5424B" w14:textId="77777777" w:rsidR="00A94BE1" w:rsidRPr="00A94BE1" w:rsidRDefault="00A94BE1" w:rsidP="00A94BE1">
      <w:pPr>
        <w:jc w:val="both"/>
        <w:rPr>
          <w:rFonts w:ascii="Palatino Linotype" w:hAnsi="Palatino Linotype"/>
          <w:sz w:val="22"/>
          <w:szCs w:val="22"/>
          <w:lang w:val="et-EE"/>
        </w:rPr>
      </w:pPr>
    </w:p>
    <w:p w14:paraId="282D1788"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Vastustaja:</w:t>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t>Riigi Tugiteenuste Keskus</w:t>
      </w:r>
    </w:p>
    <w:p w14:paraId="64EC7F8A"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b/>
          <w:bCs/>
          <w:sz w:val="22"/>
          <w:szCs w:val="22"/>
          <w:lang w:val="et-EE"/>
        </w:rPr>
        <w:tab/>
      </w:r>
      <w:r w:rsidRPr="00A94BE1">
        <w:rPr>
          <w:rFonts w:ascii="Palatino Linotype" w:hAnsi="Palatino Linotype"/>
          <w:sz w:val="22"/>
          <w:szCs w:val="22"/>
          <w:lang w:val="et-EE"/>
        </w:rPr>
        <w:t>Lõkke 4</w:t>
      </w:r>
    </w:p>
    <w:p w14:paraId="5FE5C7BE"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r>
      <w:r w:rsidRPr="00A94BE1">
        <w:rPr>
          <w:rFonts w:ascii="Palatino Linotype" w:hAnsi="Palatino Linotype"/>
          <w:sz w:val="22"/>
          <w:szCs w:val="22"/>
          <w:lang w:val="et-EE"/>
        </w:rPr>
        <w:tab/>
        <w:t>10122 Tallinn</w:t>
      </w:r>
    </w:p>
    <w:p w14:paraId="0D2CB279" w14:textId="77777777" w:rsidR="00A94BE1" w:rsidRPr="00A94BE1" w:rsidRDefault="00A94BE1" w:rsidP="00A94BE1">
      <w:pPr>
        <w:jc w:val="both"/>
        <w:rPr>
          <w:rFonts w:ascii="Palatino Linotype" w:hAnsi="Palatino Linotype"/>
          <w:sz w:val="22"/>
          <w:szCs w:val="22"/>
          <w:lang w:val="et-EE"/>
        </w:rPr>
      </w:pPr>
    </w:p>
    <w:p w14:paraId="06C77565" w14:textId="77777777" w:rsidR="00A94BE1" w:rsidRPr="00A94BE1" w:rsidRDefault="00A94BE1" w:rsidP="00A94BE1">
      <w:pPr>
        <w:jc w:val="both"/>
        <w:rPr>
          <w:rFonts w:ascii="Palatino Linotype" w:hAnsi="Palatino Linotype"/>
          <w:b/>
          <w:bCs/>
          <w:sz w:val="22"/>
          <w:szCs w:val="22"/>
          <w:lang w:val="et-EE"/>
        </w:rPr>
      </w:pPr>
      <w:r w:rsidRPr="00A94BE1">
        <w:rPr>
          <w:rFonts w:ascii="Palatino Linotype" w:hAnsi="Palatino Linotype"/>
          <w:b/>
          <w:bCs/>
          <w:sz w:val="22"/>
          <w:szCs w:val="22"/>
          <w:lang w:val="et-EE"/>
        </w:rPr>
        <w:t>OSAÜHING VAN DER KNOX vaidlustus riigihanke 287219 alusdokumentide õigusvastasuse tuvastamiseks ning õigusakti nõuetega kooskõlla viimiseks</w:t>
      </w:r>
    </w:p>
    <w:p w14:paraId="2CEF6854" w14:textId="77777777" w:rsidR="00A94BE1" w:rsidRPr="00A94BE1" w:rsidRDefault="00A94BE1" w:rsidP="00A94BE1">
      <w:pPr>
        <w:jc w:val="both"/>
        <w:rPr>
          <w:rFonts w:ascii="Palatino Linotype" w:hAnsi="Palatino Linotype"/>
          <w:b/>
          <w:bCs/>
          <w:sz w:val="22"/>
          <w:szCs w:val="22"/>
          <w:lang w:val="et-EE"/>
        </w:rPr>
      </w:pPr>
    </w:p>
    <w:p w14:paraId="778220AD"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Taotlused</w:t>
      </w:r>
    </w:p>
    <w:p w14:paraId="562C7599" w14:textId="77777777" w:rsidR="00A94BE1" w:rsidRPr="00A94BE1" w:rsidRDefault="00A94BE1" w:rsidP="00A94BE1">
      <w:pPr>
        <w:pStyle w:val="ListParagraph"/>
        <w:ind w:left="360"/>
        <w:jc w:val="both"/>
        <w:rPr>
          <w:rFonts w:ascii="Palatino Linotype" w:hAnsi="Palatino Linotype"/>
          <w:b/>
          <w:bCs/>
          <w:lang w:val="et-EE"/>
        </w:rPr>
      </w:pPr>
    </w:p>
    <w:p w14:paraId="02A84607"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b/>
          <w:bCs/>
          <w:lang w:val="et-EE"/>
        </w:rPr>
        <w:t>Tuvastada Riigi Tugiteenuste Keskuse riigihanke 287219 alusdokumendi, s.o tehnilise kirjelduse õigusvastasus ning kohustada hankijat tehnilise kirjelduse kooskõlla viima kehtivate õigusaktidega;</w:t>
      </w:r>
    </w:p>
    <w:p w14:paraId="0C932D0C"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b/>
          <w:bCs/>
          <w:lang w:val="et-EE"/>
        </w:rPr>
        <w:t>Peatada riigihanke 287219 menetlus;</w:t>
      </w:r>
    </w:p>
    <w:p w14:paraId="0533E92D"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b/>
          <w:bCs/>
          <w:lang w:val="et-EE"/>
        </w:rPr>
        <w:t>Jätta käesoleva vaidlustusega seotud menetluskulud vastustaja kanda.</w:t>
      </w:r>
    </w:p>
    <w:p w14:paraId="33851637" w14:textId="77777777" w:rsidR="00A94BE1" w:rsidRPr="00A94BE1" w:rsidRDefault="00A94BE1" w:rsidP="00A94BE1">
      <w:pPr>
        <w:pStyle w:val="ListParagraph"/>
        <w:ind w:left="426"/>
        <w:jc w:val="both"/>
        <w:rPr>
          <w:rFonts w:ascii="Palatino Linotype" w:hAnsi="Palatino Linotype"/>
          <w:b/>
          <w:bCs/>
          <w:lang w:val="et-EE"/>
        </w:rPr>
      </w:pPr>
    </w:p>
    <w:p w14:paraId="13B21361"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Vaidlustuse aluseks olevad faktilised asjaolud</w:t>
      </w:r>
    </w:p>
    <w:p w14:paraId="319E2331" w14:textId="77777777" w:rsidR="00A94BE1" w:rsidRPr="00A94BE1" w:rsidRDefault="00A94BE1" w:rsidP="00A94BE1">
      <w:pPr>
        <w:pStyle w:val="ListParagraph"/>
        <w:ind w:left="360"/>
        <w:jc w:val="both"/>
        <w:rPr>
          <w:rFonts w:ascii="Palatino Linotype" w:hAnsi="Palatino Linotype"/>
          <w:b/>
          <w:bCs/>
          <w:lang w:val="et-EE"/>
        </w:rPr>
      </w:pPr>
    </w:p>
    <w:p w14:paraId="1AB8D60F"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Riigi Tugiteenuste Keskus avaldas 17.02.2025 Riigihangete registris teate „Maismaasõidukite varuosade ja pesuvedelike ostmine Päästeametile ja Politsei- ja Piirivalveametile“ riigihanke läbiviimise kohta, mis on registreeritud viitenumbriga 287219.</w:t>
      </w:r>
    </w:p>
    <w:p w14:paraId="3FF8CD53" w14:textId="77777777" w:rsidR="00A94BE1" w:rsidRPr="00A94BE1" w:rsidRDefault="00A94BE1" w:rsidP="00A94BE1">
      <w:pPr>
        <w:pStyle w:val="ListParagraph"/>
        <w:ind w:left="567"/>
        <w:jc w:val="both"/>
        <w:rPr>
          <w:rFonts w:ascii="Palatino Linotype" w:hAnsi="Palatino Linotype"/>
          <w:b/>
          <w:bCs/>
          <w:lang w:val="et-EE"/>
        </w:rPr>
      </w:pPr>
    </w:p>
    <w:p w14:paraId="46E9B4C1"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 xml:space="preserve">Hanke </w:t>
      </w:r>
      <w:r w:rsidRPr="00A94BE1">
        <w:rPr>
          <w:rFonts w:ascii="Palatino Linotype" w:hAnsi="Palatino Linotype"/>
          <w:color w:val="000000" w:themeColor="text1"/>
          <w:lang w:val="et-EE"/>
        </w:rPr>
        <w:t>o</w:t>
      </w:r>
      <w:proofErr w:type="spellStart"/>
      <w:r w:rsidRPr="00A94BE1">
        <w:rPr>
          <w:rFonts w:ascii="Palatino Linotype" w:hAnsi="Palatino Linotype"/>
          <w:color w:val="000000" w:themeColor="text1"/>
        </w:rPr>
        <w:t>bjektiks</w:t>
      </w:r>
      <w:proofErr w:type="spellEnd"/>
      <w:r w:rsidRPr="00A94BE1">
        <w:rPr>
          <w:rFonts w:ascii="Palatino Linotype" w:hAnsi="Palatino Linotype"/>
          <w:color w:val="000000" w:themeColor="text1"/>
        </w:rPr>
        <w:t xml:space="preserve"> on </w:t>
      </w:r>
      <w:proofErr w:type="spellStart"/>
      <w:r w:rsidRPr="00A94BE1">
        <w:rPr>
          <w:rFonts w:ascii="Palatino Linotype" w:hAnsi="Palatino Linotype"/>
          <w:color w:val="000000" w:themeColor="text1"/>
        </w:rPr>
        <w:t>Päästeameti</w:t>
      </w:r>
      <w:proofErr w:type="spellEnd"/>
      <w:r w:rsidRPr="00A94BE1">
        <w:rPr>
          <w:rFonts w:ascii="Palatino Linotype" w:hAnsi="Palatino Linotype"/>
          <w:color w:val="000000" w:themeColor="text1"/>
        </w:rPr>
        <w:t xml:space="preserve"> ja </w:t>
      </w:r>
      <w:proofErr w:type="spellStart"/>
      <w:r w:rsidRPr="00A94BE1">
        <w:rPr>
          <w:rFonts w:ascii="Palatino Linotype" w:hAnsi="Palatino Linotype"/>
          <w:color w:val="000000" w:themeColor="text1"/>
        </w:rPr>
        <w:t>Politsei</w:t>
      </w:r>
      <w:proofErr w:type="spellEnd"/>
      <w:r w:rsidRPr="00A94BE1">
        <w:rPr>
          <w:rFonts w:ascii="Palatino Linotype" w:hAnsi="Palatino Linotype"/>
          <w:color w:val="000000" w:themeColor="text1"/>
        </w:rPr>
        <w:t xml:space="preserve">- ja </w:t>
      </w:r>
      <w:proofErr w:type="spellStart"/>
      <w:r w:rsidRPr="00A94BE1">
        <w:rPr>
          <w:rFonts w:ascii="Palatino Linotype" w:hAnsi="Palatino Linotype"/>
          <w:color w:val="000000" w:themeColor="text1"/>
        </w:rPr>
        <w:t>Piirivalveameti</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kasutuses</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olevate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maismaasõidukite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sõiduautod</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väikebussid</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maasturid</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kaubikud</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ning</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veoautod</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varuosade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ning</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sõidukite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pesuvedelike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ostmine</w:t>
      </w:r>
      <w:proofErr w:type="spellEnd"/>
      <w:r w:rsidRPr="00A94BE1">
        <w:rPr>
          <w:rFonts w:ascii="Palatino Linotype" w:hAnsi="Palatino Linotype"/>
          <w:color w:val="000000" w:themeColor="text1"/>
        </w:rPr>
        <w:t xml:space="preserve"> ja </w:t>
      </w:r>
      <w:proofErr w:type="spellStart"/>
      <w:r w:rsidRPr="00A94BE1">
        <w:rPr>
          <w:rFonts w:ascii="Palatino Linotype" w:hAnsi="Palatino Linotype"/>
          <w:color w:val="000000" w:themeColor="text1"/>
        </w:rPr>
        <w:t>nende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tarnimine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tellimuses</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määratud</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sihtkohta</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riigihanke</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alusdokumentides</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sätestatud</w:t>
      </w:r>
      <w:proofErr w:type="spellEnd"/>
      <w:r w:rsidRPr="00A94BE1">
        <w:rPr>
          <w:rFonts w:ascii="Palatino Linotype" w:hAnsi="Palatino Linotype"/>
          <w:color w:val="000000" w:themeColor="text1"/>
        </w:rPr>
        <w:t xml:space="preserve"> </w:t>
      </w:r>
      <w:proofErr w:type="spellStart"/>
      <w:r w:rsidRPr="00A94BE1">
        <w:rPr>
          <w:rFonts w:ascii="Palatino Linotype" w:hAnsi="Palatino Linotype"/>
          <w:color w:val="000000" w:themeColor="text1"/>
        </w:rPr>
        <w:t>tingimustel</w:t>
      </w:r>
      <w:proofErr w:type="spellEnd"/>
      <w:r w:rsidRPr="00A94BE1">
        <w:rPr>
          <w:rFonts w:ascii="Palatino Linotype" w:hAnsi="Palatino Linotype"/>
          <w:color w:val="000000" w:themeColor="text1"/>
        </w:rPr>
        <w:t xml:space="preserve"> ja </w:t>
      </w:r>
      <w:proofErr w:type="spellStart"/>
      <w:r w:rsidRPr="00A94BE1">
        <w:rPr>
          <w:rFonts w:ascii="Palatino Linotype" w:hAnsi="Palatino Linotype"/>
          <w:color w:val="000000" w:themeColor="text1"/>
        </w:rPr>
        <w:t>korras</w:t>
      </w:r>
      <w:proofErr w:type="spellEnd"/>
      <w:r w:rsidRPr="00A94BE1">
        <w:rPr>
          <w:rFonts w:ascii="Palatino Linotype" w:hAnsi="Palatino Linotype"/>
          <w:color w:val="000000" w:themeColor="text1"/>
        </w:rPr>
        <w:t>.</w:t>
      </w:r>
    </w:p>
    <w:p w14:paraId="0EC83485" w14:textId="77777777" w:rsidR="00F26357" w:rsidRPr="00A94BE1" w:rsidRDefault="00F26357">
      <w:pPr>
        <w:rPr>
          <w:sz w:val="22"/>
          <w:szCs w:val="22"/>
        </w:rPr>
      </w:pPr>
    </w:p>
    <w:p w14:paraId="31939514" w14:textId="77777777" w:rsidR="00A94BE1" w:rsidRPr="00A94BE1" w:rsidRDefault="00A94BE1" w:rsidP="00A94BE1">
      <w:pPr>
        <w:pStyle w:val="ListParagraph"/>
        <w:numPr>
          <w:ilvl w:val="1"/>
          <w:numId w:val="1"/>
        </w:numPr>
        <w:ind w:left="567" w:hanging="491"/>
        <w:jc w:val="both"/>
        <w:rPr>
          <w:rFonts w:ascii="Palatino Linotype" w:hAnsi="Palatino Linotype"/>
          <w:color w:val="000000" w:themeColor="text1"/>
          <w:lang w:val="et-EE"/>
        </w:rPr>
      </w:pPr>
      <w:r w:rsidRPr="00A94BE1">
        <w:rPr>
          <w:rFonts w:ascii="Palatino Linotype" w:hAnsi="Palatino Linotype"/>
          <w:lang w:val="et-EE"/>
        </w:rPr>
        <w:t xml:space="preserve">Riigihanke dokumendid on kättesaadavad internetikeskkonnas: </w:t>
      </w:r>
    </w:p>
    <w:p w14:paraId="05CAF40A" w14:textId="77777777" w:rsidR="00A94BE1" w:rsidRPr="00A94BE1" w:rsidRDefault="00A94BE1" w:rsidP="00A94BE1">
      <w:pPr>
        <w:pStyle w:val="ListParagraph"/>
        <w:ind w:left="567"/>
        <w:jc w:val="both"/>
        <w:rPr>
          <w:rFonts w:ascii="Palatino Linotype" w:hAnsi="Palatino Linotype"/>
          <w:color w:val="000000" w:themeColor="text1"/>
          <w:lang w:val="et-EE"/>
        </w:rPr>
      </w:pPr>
    </w:p>
    <w:p w14:paraId="5600D9F4" w14:textId="77777777" w:rsidR="00A94BE1" w:rsidRPr="00821881" w:rsidRDefault="00A94BE1" w:rsidP="00821881">
      <w:pPr>
        <w:pStyle w:val="ListParagraph"/>
        <w:ind w:left="567"/>
        <w:jc w:val="both"/>
        <w:rPr>
          <w:rFonts w:ascii="Palatino Linotype" w:hAnsi="Palatino Linotype"/>
          <w:b/>
          <w:bCs/>
          <w:u w:val="single"/>
          <w:lang w:val="et-EE"/>
        </w:rPr>
      </w:pPr>
      <w:r w:rsidRPr="00A94BE1">
        <w:rPr>
          <w:rFonts w:ascii="Palatino Linotype" w:hAnsi="Palatino Linotype"/>
          <w:color w:val="000000" w:themeColor="text1"/>
          <w:u w:val="single"/>
          <w:lang w:val="et-EE"/>
        </w:rPr>
        <w:t>https://riigihanked.riik.ee/rhr-web/#/procurement/8080904/general-info</w:t>
      </w:r>
    </w:p>
    <w:p w14:paraId="79B659ED"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lastRenderedPageBreak/>
        <w:t>Hankija on koos hanketeatega avaldanud hanke alusdokumendi, s.o tehnilise kirjelduse (lisa 1), millest nähtuvalt on hange jagatud kahte ossa, neist esimeses osas soovitakse hankida sõiduautode varuosi ning pesuvedelikke ning teises osas soovitakse hankida veoautode varuosi.</w:t>
      </w:r>
    </w:p>
    <w:p w14:paraId="63A4D5B4" w14:textId="77777777" w:rsidR="00A94BE1" w:rsidRPr="00A94BE1" w:rsidRDefault="00A94BE1" w:rsidP="00A94BE1">
      <w:pPr>
        <w:pStyle w:val="ListParagraph"/>
        <w:rPr>
          <w:rFonts w:ascii="Palatino Linotype" w:hAnsi="Palatino Linotype"/>
          <w:lang w:val="et-EE"/>
        </w:rPr>
      </w:pPr>
    </w:p>
    <w:p w14:paraId="45A736ED"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Pakkuja hinnangul on alusdokumendis pesuvedelike hankimine koos varuosadega konkurentsi piirav ning põhjendamatu, seetõttu leiab pakkuja, et alusdokumendid on vastuolus RHS § 2 lg-s 1 sätestatuga.</w:t>
      </w:r>
    </w:p>
    <w:p w14:paraId="3AF30873" w14:textId="77777777" w:rsidR="00A94BE1" w:rsidRPr="00A94BE1" w:rsidRDefault="00A94BE1" w:rsidP="00A94BE1">
      <w:pPr>
        <w:pStyle w:val="ListParagraph"/>
        <w:rPr>
          <w:rFonts w:ascii="Palatino Linotype" w:hAnsi="Palatino Linotype"/>
          <w:lang w:val="et-EE"/>
        </w:rPr>
      </w:pPr>
    </w:p>
    <w:p w14:paraId="18980244"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 xml:space="preserve">Võttes arvesse kaebuse esitamise lühikest kaebetähtaega, peab pakkuja vajalikuks esitada käesolev vaidlustus. </w:t>
      </w:r>
    </w:p>
    <w:p w14:paraId="1A9BA00E" w14:textId="77777777" w:rsidR="00A94BE1" w:rsidRPr="00A94BE1" w:rsidRDefault="00A94BE1" w:rsidP="00A94BE1">
      <w:pPr>
        <w:pStyle w:val="ListParagraph"/>
        <w:rPr>
          <w:rFonts w:ascii="Palatino Linotype" w:hAnsi="Palatino Linotype"/>
          <w:b/>
          <w:bCs/>
          <w:lang w:val="et-EE"/>
        </w:rPr>
      </w:pPr>
    </w:p>
    <w:p w14:paraId="5F57F926" w14:textId="77777777" w:rsidR="00A94BE1" w:rsidRPr="00A94BE1" w:rsidRDefault="00A94BE1" w:rsidP="00A94BE1">
      <w:pPr>
        <w:pStyle w:val="ListParagraph"/>
        <w:numPr>
          <w:ilvl w:val="1"/>
          <w:numId w:val="1"/>
        </w:numPr>
        <w:ind w:left="567" w:hanging="491"/>
        <w:jc w:val="both"/>
        <w:rPr>
          <w:rFonts w:ascii="Palatino Linotype" w:hAnsi="Palatino Linotype"/>
          <w:b/>
          <w:bCs/>
          <w:lang w:val="et-EE"/>
        </w:rPr>
      </w:pPr>
      <w:r w:rsidRPr="00A94BE1">
        <w:rPr>
          <w:rFonts w:ascii="Palatino Linotype" w:hAnsi="Palatino Linotype"/>
          <w:lang w:val="et-EE"/>
        </w:rPr>
        <w:t>Pakkuja põhjendab enda seisukohti alljärgnevalt.</w:t>
      </w:r>
    </w:p>
    <w:p w14:paraId="4CFE0C42" w14:textId="77777777" w:rsidR="00A94BE1" w:rsidRPr="00A94BE1" w:rsidRDefault="00A94BE1" w:rsidP="00A94BE1">
      <w:pPr>
        <w:pStyle w:val="ListParagraph"/>
        <w:rPr>
          <w:rFonts w:ascii="Palatino Linotype" w:hAnsi="Palatino Linotype"/>
          <w:b/>
          <w:bCs/>
          <w:lang w:val="et-EE"/>
        </w:rPr>
      </w:pPr>
    </w:p>
    <w:p w14:paraId="49291791"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Tehnilise kirjelduse vastuolu riigihankeseadusega</w:t>
      </w:r>
    </w:p>
    <w:p w14:paraId="4879FC7A" w14:textId="77777777" w:rsidR="00A94BE1" w:rsidRPr="00A94BE1" w:rsidRDefault="00A94BE1" w:rsidP="00A94BE1">
      <w:pPr>
        <w:pStyle w:val="ListParagraph"/>
        <w:ind w:left="360"/>
        <w:jc w:val="both"/>
        <w:rPr>
          <w:rFonts w:ascii="Palatino Linotype" w:hAnsi="Palatino Linotype"/>
          <w:b/>
          <w:bCs/>
          <w:lang w:val="et-EE"/>
        </w:rPr>
      </w:pPr>
    </w:p>
    <w:p w14:paraId="0AD7B641"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Pakkuja hinnangul on kahe erineva valdkonna, s.o sõiduautode varuosad ja sõidukite pesuvedelikud koos hankimine ebamõistlikult piirav ning vastuolus  RHS § 2 lg-ga 1, mille kohaselt tuleb riigihanke läbiviimisel tagada konkurentsi efektiivne ära kasutamine. </w:t>
      </w:r>
    </w:p>
    <w:p w14:paraId="10779E9A" w14:textId="77777777" w:rsidR="00A94BE1" w:rsidRPr="00A94BE1" w:rsidRDefault="00A94BE1" w:rsidP="00A94BE1">
      <w:pPr>
        <w:pStyle w:val="ListParagraph"/>
        <w:ind w:left="426"/>
        <w:jc w:val="both"/>
        <w:rPr>
          <w:rFonts w:ascii="Palatino Linotype" w:hAnsi="Palatino Linotype"/>
          <w:b/>
          <w:bCs/>
          <w:lang w:val="et-EE"/>
        </w:rPr>
      </w:pPr>
    </w:p>
    <w:p w14:paraId="580C3C41"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Pakkuja hinnangul ei ole konkurentsi efektiivne ära kasutamine tagatud olukorras, kus hanke objektiks on kokku pandud kaks sedavõrd erinevat valdkonda, et suuremad tootjad hankel iseseisvalt osaleda ei saa. </w:t>
      </w:r>
    </w:p>
    <w:p w14:paraId="6870804C" w14:textId="77777777" w:rsidR="00A94BE1" w:rsidRPr="00A94BE1" w:rsidRDefault="00A94BE1" w:rsidP="00A94BE1">
      <w:pPr>
        <w:pStyle w:val="ListParagraph"/>
        <w:rPr>
          <w:rFonts w:ascii="Palatino Linotype" w:hAnsi="Palatino Linotype"/>
          <w:b/>
          <w:bCs/>
          <w:lang w:val="et-EE"/>
        </w:rPr>
      </w:pPr>
    </w:p>
    <w:p w14:paraId="3EF6D906"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Pakkuja tegutseb sõidukite pesuvedelike pakendamise ja tootmisega alates aastast 2001 ning pakkuja pesuvedelike müügimaht on iga aastaselt ca 1,5 miljonit eurot, seejuures teenindatakse suuremaid autokeskusi, põllumajandusettevõtteid, pesulaid, auto remonditöökodasid jne, kuid võttes arvesse, et pakkuja ei tegele sõidukite varuosade müügiga, ei saaks pakkuja vaidlusalusel riigihankel üksi osaleda.</w:t>
      </w:r>
    </w:p>
    <w:p w14:paraId="1EF086DC" w14:textId="77777777" w:rsidR="00A94BE1" w:rsidRPr="00A94BE1" w:rsidRDefault="00A94BE1" w:rsidP="00A94BE1">
      <w:pPr>
        <w:rPr>
          <w:rFonts w:ascii="Palatino Linotype" w:hAnsi="Palatino Linotype"/>
          <w:b/>
          <w:bCs/>
          <w:sz w:val="22"/>
          <w:szCs w:val="22"/>
          <w:lang w:val="et-EE"/>
        </w:rPr>
      </w:pPr>
    </w:p>
    <w:p w14:paraId="0C726AEF"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Pakkuja soovib enda etteheiteid tehnilisele kirjeldusele ilmestada ka alloleva näitega.</w:t>
      </w:r>
    </w:p>
    <w:p w14:paraId="1C7D1177" w14:textId="77777777" w:rsidR="00A94BE1" w:rsidRPr="00A94BE1" w:rsidRDefault="00A94BE1" w:rsidP="00A94BE1">
      <w:pPr>
        <w:pStyle w:val="ListParagraph"/>
        <w:rPr>
          <w:rFonts w:ascii="Palatino Linotype" w:hAnsi="Palatino Linotype"/>
          <w:lang w:val="et-EE"/>
        </w:rPr>
      </w:pPr>
    </w:p>
    <w:p w14:paraId="0513D661"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Eestis üks suuremaid autokeemia ja pesuvahendite tootjaid on AS Estko, kelle aastane müügimaht on ca 7-8 miljonit eurot ning kes analoogselt vaidlustajaga ei saaks vaidlusalusel hankel üksi osaleda.</w:t>
      </w:r>
    </w:p>
    <w:p w14:paraId="6513FA0A" w14:textId="77777777" w:rsidR="00A94BE1" w:rsidRPr="00A94BE1" w:rsidRDefault="00A94BE1" w:rsidP="00A94BE1">
      <w:pPr>
        <w:pStyle w:val="ListParagraph"/>
        <w:rPr>
          <w:rFonts w:ascii="Palatino Linotype" w:hAnsi="Palatino Linotype"/>
          <w:b/>
          <w:bCs/>
          <w:lang w:val="et-EE"/>
        </w:rPr>
      </w:pPr>
    </w:p>
    <w:p w14:paraId="4A6C3151" w14:textId="77777777" w:rsidR="00A94BE1" w:rsidRPr="00A94BE1" w:rsidRDefault="00A94BE1" w:rsidP="00A94BE1">
      <w:pPr>
        <w:pStyle w:val="ListParagraph"/>
        <w:numPr>
          <w:ilvl w:val="1"/>
          <w:numId w:val="1"/>
        </w:numPr>
        <w:ind w:left="426"/>
        <w:jc w:val="both"/>
        <w:rPr>
          <w:rFonts w:ascii="Palatino Linotype" w:hAnsi="Palatino Linotype"/>
          <w:lang w:val="et-EE"/>
        </w:rPr>
      </w:pPr>
      <w:r w:rsidRPr="00A94BE1">
        <w:rPr>
          <w:rFonts w:ascii="Palatino Linotype" w:hAnsi="Palatino Linotype"/>
          <w:lang w:val="et-EE"/>
        </w:rPr>
        <w:t xml:space="preserve">Kokkuvõttes tekitab kahe täiesti erineva kategooria ning valdkonna toodete koos hankimine olukorra, kus turul tegutsevad erialaselt spetsialiseerunud ning parima võimekusega pakkujad ei pääse hankele pakkuma, mis on vaidlustaja hinnangul selgelt ebaefektiivne rahaliste vahendite kasutamine ning konkurentsi piirav. </w:t>
      </w:r>
    </w:p>
    <w:p w14:paraId="33ACC88B" w14:textId="77777777" w:rsidR="00A94BE1" w:rsidRPr="00A94BE1" w:rsidRDefault="00A94BE1" w:rsidP="00A94BE1">
      <w:pPr>
        <w:pStyle w:val="ListParagraph"/>
        <w:rPr>
          <w:rFonts w:ascii="Palatino Linotype" w:hAnsi="Palatino Linotype"/>
          <w:lang w:val="et-EE"/>
        </w:rPr>
      </w:pPr>
    </w:p>
    <w:p w14:paraId="0696475A" w14:textId="77777777" w:rsidR="00A94BE1" w:rsidRPr="003B729D" w:rsidRDefault="00A94BE1" w:rsidP="003B729D">
      <w:pPr>
        <w:rPr>
          <w:rFonts w:ascii="Palatino Linotype" w:hAnsi="Palatino Linotype"/>
          <w:b/>
          <w:bCs/>
          <w:lang w:val="et-EE"/>
        </w:rPr>
      </w:pPr>
    </w:p>
    <w:p w14:paraId="4E3C0CC7"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lastRenderedPageBreak/>
        <w:t>Taotlus hankemenetluse peatamiseks</w:t>
      </w:r>
    </w:p>
    <w:p w14:paraId="70C31A43" w14:textId="77777777" w:rsidR="00A94BE1" w:rsidRPr="00A94BE1" w:rsidRDefault="00A94BE1" w:rsidP="00A94BE1">
      <w:pPr>
        <w:pStyle w:val="ListParagraph"/>
        <w:ind w:left="426"/>
        <w:jc w:val="both"/>
        <w:rPr>
          <w:rFonts w:ascii="Palatino Linotype" w:hAnsi="Palatino Linotype"/>
          <w:b/>
          <w:bCs/>
          <w:lang w:val="et-EE"/>
        </w:rPr>
      </w:pPr>
    </w:p>
    <w:p w14:paraId="07D372BB"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RHS § 193 lg 1 sätestab, et </w:t>
      </w:r>
      <w:proofErr w:type="spellStart"/>
      <w:r w:rsidRPr="00A94BE1">
        <w:rPr>
          <w:rFonts w:ascii="Palatino Linotype" w:hAnsi="Palatino Linotype" w:cs="Arial"/>
          <w:color w:val="202020"/>
          <w:shd w:val="clear" w:color="auto" w:fill="FFFFFF"/>
        </w:rPr>
        <w:t>vaidlustuskomisjon</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võib</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vaidlustaja</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põhjendatud</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taotluse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alusel</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teha</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igas</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vaidlustusmenetluse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staadiumis</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otsuse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riigihanke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peatamise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kohta</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võttes</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arvesse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peatamisest</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tulenevaid</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võimalikke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tagajärgi</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kõigile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huvidele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mida</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võidakse</w:t>
      </w:r>
      <w:proofErr w:type="spellEnd"/>
      <w:r w:rsidRPr="00A94BE1">
        <w:rPr>
          <w:rFonts w:ascii="Palatino Linotype" w:hAnsi="Palatino Linotype" w:cs="Arial"/>
          <w:color w:val="202020"/>
          <w:shd w:val="clear" w:color="auto" w:fill="FFFFFF"/>
        </w:rPr>
        <w:t xml:space="preserve"> </w:t>
      </w:r>
      <w:proofErr w:type="spellStart"/>
      <w:r w:rsidRPr="00A94BE1">
        <w:rPr>
          <w:rFonts w:ascii="Palatino Linotype" w:hAnsi="Palatino Linotype" w:cs="Arial"/>
          <w:color w:val="202020"/>
          <w:shd w:val="clear" w:color="auto" w:fill="FFFFFF"/>
        </w:rPr>
        <w:t>kahjustada</w:t>
      </w:r>
      <w:proofErr w:type="spellEnd"/>
      <w:r w:rsidRPr="00A94BE1">
        <w:rPr>
          <w:rFonts w:ascii="Palatino Linotype" w:hAnsi="Palatino Linotype" w:cs="Arial"/>
          <w:color w:val="202020"/>
          <w:shd w:val="clear" w:color="auto" w:fill="FFFFFF"/>
        </w:rPr>
        <w:t xml:space="preserve">. </w:t>
      </w:r>
    </w:p>
    <w:p w14:paraId="55E5231C" w14:textId="77777777" w:rsidR="00A94BE1" w:rsidRPr="00A94BE1" w:rsidRDefault="00A94BE1" w:rsidP="00A94BE1">
      <w:pPr>
        <w:pStyle w:val="ListParagraph"/>
        <w:ind w:left="426"/>
        <w:jc w:val="both"/>
        <w:rPr>
          <w:rFonts w:ascii="Palatino Linotype" w:hAnsi="Palatino Linotype"/>
          <w:b/>
          <w:bCs/>
          <w:lang w:val="et-EE"/>
        </w:rPr>
      </w:pPr>
    </w:p>
    <w:p w14:paraId="5280C555"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 xml:space="preserve">Vaidlustaja hinnangul on käesoleval juhul menetluse peatamine õigustatud seetõttu, et menetlus peaks jätkuma õiguspärastel tingimustel ning sellise olukorra saavutamine ei ole enam võimalik peale pakkumuste esitamist, sest peale pakkumuste esitamise tähtaja möödumist </w:t>
      </w:r>
      <w:r w:rsidRPr="00A94BE1">
        <w:rPr>
          <w:rFonts w:ascii="Palatino Linotype" w:hAnsi="Palatino Linotype"/>
        </w:rPr>
        <w:t xml:space="preserve">on </w:t>
      </w:r>
      <w:proofErr w:type="spellStart"/>
      <w:r w:rsidRPr="00A94BE1">
        <w:rPr>
          <w:rFonts w:ascii="Palatino Linotype" w:hAnsi="Palatino Linotype"/>
        </w:rPr>
        <w:t>alusdokumentides</w:t>
      </w:r>
      <w:proofErr w:type="spellEnd"/>
      <w:r w:rsidRPr="00A94BE1">
        <w:rPr>
          <w:rFonts w:ascii="Palatino Linotype" w:hAnsi="Palatino Linotype"/>
        </w:rPr>
        <w:t xml:space="preserve"> </w:t>
      </w:r>
      <w:proofErr w:type="spellStart"/>
      <w:r w:rsidRPr="00A94BE1">
        <w:rPr>
          <w:rFonts w:ascii="Palatino Linotype" w:hAnsi="Palatino Linotype"/>
        </w:rPr>
        <w:t>sätestatud</w:t>
      </w:r>
      <w:proofErr w:type="spellEnd"/>
      <w:r w:rsidRPr="00A94BE1">
        <w:rPr>
          <w:rFonts w:ascii="Palatino Linotype" w:hAnsi="Palatino Linotype"/>
        </w:rPr>
        <w:t xml:space="preserve"> </w:t>
      </w:r>
      <w:proofErr w:type="spellStart"/>
      <w:r w:rsidRPr="00A94BE1">
        <w:rPr>
          <w:rFonts w:ascii="Palatino Linotype" w:hAnsi="Palatino Linotype"/>
        </w:rPr>
        <w:t>tingimused</w:t>
      </w:r>
      <w:proofErr w:type="spellEnd"/>
      <w:r w:rsidRPr="00A94BE1">
        <w:rPr>
          <w:rFonts w:ascii="Palatino Linotype" w:hAnsi="Palatino Linotype"/>
        </w:rPr>
        <w:t xml:space="preserve"> </w:t>
      </w:r>
      <w:proofErr w:type="spellStart"/>
      <w:r w:rsidRPr="00A94BE1">
        <w:rPr>
          <w:rFonts w:ascii="Palatino Linotype" w:hAnsi="Palatino Linotype"/>
        </w:rPr>
        <w:t>kohustuslikud</w:t>
      </w:r>
      <w:proofErr w:type="spellEnd"/>
      <w:r w:rsidRPr="00A94BE1">
        <w:rPr>
          <w:rFonts w:ascii="Palatino Linotype" w:hAnsi="Palatino Linotype"/>
        </w:rPr>
        <w:t xml:space="preserve"> </w:t>
      </w:r>
      <w:proofErr w:type="spellStart"/>
      <w:r w:rsidRPr="00A94BE1">
        <w:rPr>
          <w:rFonts w:ascii="Palatino Linotype" w:hAnsi="Palatino Linotype"/>
        </w:rPr>
        <w:t>nii</w:t>
      </w:r>
      <w:proofErr w:type="spellEnd"/>
      <w:r w:rsidRPr="00A94BE1">
        <w:rPr>
          <w:rFonts w:ascii="Palatino Linotype" w:hAnsi="Palatino Linotype"/>
        </w:rPr>
        <w:t xml:space="preserve"> </w:t>
      </w:r>
      <w:proofErr w:type="spellStart"/>
      <w:r w:rsidRPr="00A94BE1">
        <w:rPr>
          <w:rFonts w:ascii="Palatino Linotype" w:hAnsi="Palatino Linotype"/>
        </w:rPr>
        <w:t>hankijale</w:t>
      </w:r>
      <w:proofErr w:type="spellEnd"/>
      <w:r w:rsidRPr="00A94BE1">
        <w:rPr>
          <w:rFonts w:ascii="Palatino Linotype" w:hAnsi="Palatino Linotype"/>
        </w:rPr>
        <w:t xml:space="preserve"> </w:t>
      </w:r>
      <w:proofErr w:type="spellStart"/>
      <w:r w:rsidRPr="00A94BE1">
        <w:rPr>
          <w:rFonts w:ascii="Palatino Linotype" w:hAnsi="Palatino Linotype"/>
        </w:rPr>
        <w:t>kui</w:t>
      </w:r>
      <w:proofErr w:type="spellEnd"/>
      <w:r w:rsidRPr="00A94BE1">
        <w:rPr>
          <w:rFonts w:ascii="Palatino Linotype" w:hAnsi="Palatino Linotype"/>
        </w:rPr>
        <w:t xml:space="preserve"> </w:t>
      </w:r>
      <w:proofErr w:type="spellStart"/>
      <w:r w:rsidRPr="00A94BE1">
        <w:rPr>
          <w:rFonts w:ascii="Palatino Linotype" w:hAnsi="Palatino Linotype"/>
        </w:rPr>
        <w:t>pakkujatele</w:t>
      </w:r>
      <w:proofErr w:type="spellEnd"/>
      <w:r w:rsidRPr="00A94BE1">
        <w:rPr>
          <w:rFonts w:ascii="Palatino Linotype" w:hAnsi="Palatino Linotype"/>
        </w:rPr>
        <w:t>/</w:t>
      </w:r>
      <w:proofErr w:type="spellStart"/>
      <w:r w:rsidRPr="00A94BE1">
        <w:rPr>
          <w:rFonts w:ascii="Palatino Linotype" w:hAnsi="Palatino Linotype"/>
        </w:rPr>
        <w:t>taotlejatele</w:t>
      </w:r>
      <w:proofErr w:type="spellEnd"/>
      <w:r w:rsidRPr="00A94BE1">
        <w:rPr>
          <w:rFonts w:ascii="Palatino Linotype" w:hAnsi="Palatino Linotype"/>
        </w:rPr>
        <w:t xml:space="preserve">, </w:t>
      </w:r>
      <w:proofErr w:type="spellStart"/>
      <w:r w:rsidRPr="00A94BE1">
        <w:rPr>
          <w:rFonts w:ascii="Palatino Linotype" w:hAnsi="Palatino Linotype"/>
        </w:rPr>
        <w:t>kellel</w:t>
      </w:r>
      <w:proofErr w:type="spellEnd"/>
      <w:r w:rsidRPr="00A94BE1">
        <w:rPr>
          <w:rFonts w:ascii="Palatino Linotype" w:hAnsi="Palatino Linotype"/>
        </w:rPr>
        <w:t xml:space="preserve"> </w:t>
      </w:r>
      <w:proofErr w:type="spellStart"/>
      <w:r w:rsidRPr="00A94BE1">
        <w:rPr>
          <w:rFonts w:ascii="Palatino Linotype" w:hAnsi="Palatino Linotype"/>
        </w:rPr>
        <w:t>tuleb</w:t>
      </w:r>
      <w:proofErr w:type="spellEnd"/>
      <w:r w:rsidRPr="00A94BE1">
        <w:rPr>
          <w:rFonts w:ascii="Palatino Linotype" w:hAnsi="Palatino Linotype"/>
        </w:rPr>
        <w:t xml:space="preserve"> </w:t>
      </w:r>
      <w:proofErr w:type="spellStart"/>
      <w:r w:rsidRPr="00A94BE1">
        <w:rPr>
          <w:rFonts w:ascii="Palatino Linotype" w:hAnsi="Palatino Linotype"/>
        </w:rPr>
        <w:t>edasises</w:t>
      </w:r>
      <w:proofErr w:type="spellEnd"/>
      <w:r w:rsidRPr="00A94BE1">
        <w:rPr>
          <w:rFonts w:ascii="Palatino Linotype" w:hAnsi="Palatino Linotype"/>
        </w:rPr>
        <w:t xml:space="preserve"> </w:t>
      </w:r>
      <w:proofErr w:type="spellStart"/>
      <w:r w:rsidRPr="00A94BE1">
        <w:rPr>
          <w:rFonts w:ascii="Palatino Linotype" w:hAnsi="Palatino Linotype"/>
        </w:rPr>
        <w:t>menetluses</w:t>
      </w:r>
      <w:proofErr w:type="spellEnd"/>
      <w:r w:rsidRPr="00A94BE1">
        <w:rPr>
          <w:rFonts w:ascii="Palatino Linotype" w:hAnsi="Palatino Linotype"/>
        </w:rPr>
        <w:t xml:space="preserve"> </w:t>
      </w:r>
      <w:proofErr w:type="spellStart"/>
      <w:r w:rsidRPr="00A94BE1">
        <w:rPr>
          <w:rFonts w:ascii="Palatino Linotype" w:hAnsi="Palatino Linotype"/>
        </w:rPr>
        <w:t>nendest</w:t>
      </w:r>
      <w:proofErr w:type="spellEnd"/>
      <w:r w:rsidRPr="00A94BE1">
        <w:rPr>
          <w:rFonts w:ascii="Palatino Linotype" w:hAnsi="Palatino Linotype"/>
        </w:rPr>
        <w:t xml:space="preserve"> </w:t>
      </w:r>
      <w:proofErr w:type="spellStart"/>
      <w:r w:rsidRPr="00A94BE1">
        <w:rPr>
          <w:rFonts w:ascii="Palatino Linotype" w:hAnsi="Palatino Linotype"/>
        </w:rPr>
        <w:t>tingimustest</w:t>
      </w:r>
      <w:proofErr w:type="spellEnd"/>
      <w:r w:rsidRPr="00A94BE1">
        <w:rPr>
          <w:rFonts w:ascii="Palatino Linotype" w:hAnsi="Palatino Linotype"/>
        </w:rPr>
        <w:t xml:space="preserve"> </w:t>
      </w:r>
      <w:proofErr w:type="spellStart"/>
      <w:r w:rsidRPr="00A94BE1">
        <w:rPr>
          <w:rFonts w:ascii="Palatino Linotype" w:hAnsi="Palatino Linotype"/>
        </w:rPr>
        <w:t>lähtuda</w:t>
      </w:r>
      <w:proofErr w:type="spellEnd"/>
      <w:r w:rsidRPr="00A94BE1">
        <w:rPr>
          <w:rFonts w:ascii="Palatino Linotype" w:hAnsi="Palatino Linotype"/>
        </w:rPr>
        <w:t xml:space="preserve">. </w:t>
      </w:r>
      <w:proofErr w:type="spellStart"/>
      <w:r w:rsidRPr="00A94BE1">
        <w:rPr>
          <w:rFonts w:ascii="Palatino Linotype" w:hAnsi="Palatino Linotype"/>
        </w:rPr>
        <w:t>Vaidlustuskomisjon</w:t>
      </w:r>
      <w:proofErr w:type="spellEnd"/>
      <w:r w:rsidRPr="00A94BE1">
        <w:rPr>
          <w:rFonts w:ascii="Palatino Linotype" w:hAnsi="Palatino Linotype"/>
        </w:rPr>
        <w:t xml:space="preserve"> </w:t>
      </w:r>
      <w:proofErr w:type="spellStart"/>
      <w:r w:rsidRPr="00A94BE1">
        <w:rPr>
          <w:rFonts w:ascii="Palatino Linotype" w:hAnsi="Palatino Linotype"/>
        </w:rPr>
        <w:t>ega</w:t>
      </w:r>
      <w:proofErr w:type="spellEnd"/>
      <w:r w:rsidRPr="00A94BE1">
        <w:rPr>
          <w:rFonts w:ascii="Palatino Linotype" w:hAnsi="Palatino Linotype"/>
        </w:rPr>
        <w:t xml:space="preserve"> </w:t>
      </w:r>
      <w:proofErr w:type="spellStart"/>
      <w:r w:rsidRPr="00A94BE1">
        <w:rPr>
          <w:rFonts w:ascii="Palatino Linotype" w:hAnsi="Palatino Linotype"/>
        </w:rPr>
        <w:t>kohus</w:t>
      </w:r>
      <w:proofErr w:type="spellEnd"/>
      <w:r w:rsidRPr="00A94BE1">
        <w:rPr>
          <w:rFonts w:ascii="Palatino Linotype" w:hAnsi="Palatino Linotype"/>
        </w:rPr>
        <w:t xml:space="preserve"> </w:t>
      </w:r>
      <w:proofErr w:type="spellStart"/>
      <w:r w:rsidRPr="00A94BE1">
        <w:rPr>
          <w:rFonts w:ascii="Palatino Linotype" w:hAnsi="Palatino Linotype"/>
        </w:rPr>
        <w:t>ei</w:t>
      </w:r>
      <w:proofErr w:type="spellEnd"/>
      <w:r w:rsidRPr="00A94BE1">
        <w:rPr>
          <w:rFonts w:ascii="Palatino Linotype" w:hAnsi="Palatino Linotype"/>
        </w:rPr>
        <w:t xml:space="preserve"> </w:t>
      </w:r>
      <w:proofErr w:type="spellStart"/>
      <w:r w:rsidRPr="00A94BE1">
        <w:rPr>
          <w:rFonts w:ascii="Palatino Linotype" w:hAnsi="Palatino Linotype"/>
        </w:rPr>
        <w:t>saa</w:t>
      </w:r>
      <w:proofErr w:type="spellEnd"/>
      <w:r w:rsidRPr="00A94BE1">
        <w:rPr>
          <w:rFonts w:ascii="Palatino Linotype" w:hAnsi="Palatino Linotype"/>
        </w:rPr>
        <w:t xml:space="preserve"> </w:t>
      </w:r>
      <w:proofErr w:type="spellStart"/>
      <w:r w:rsidRPr="00A94BE1">
        <w:rPr>
          <w:rFonts w:ascii="Palatino Linotype" w:hAnsi="Palatino Linotype"/>
        </w:rPr>
        <w:t>kohustada</w:t>
      </w:r>
      <w:proofErr w:type="spellEnd"/>
      <w:r w:rsidRPr="00A94BE1">
        <w:rPr>
          <w:rFonts w:ascii="Palatino Linotype" w:hAnsi="Palatino Linotype"/>
        </w:rPr>
        <w:t xml:space="preserve"> </w:t>
      </w:r>
      <w:proofErr w:type="spellStart"/>
      <w:r w:rsidRPr="00A94BE1">
        <w:rPr>
          <w:rFonts w:ascii="Palatino Linotype" w:hAnsi="Palatino Linotype"/>
        </w:rPr>
        <w:t>hankijat</w:t>
      </w:r>
      <w:proofErr w:type="spellEnd"/>
      <w:r w:rsidRPr="00A94BE1">
        <w:rPr>
          <w:rFonts w:ascii="Palatino Linotype" w:hAnsi="Palatino Linotype"/>
        </w:rPr>
        <w:t xml:space="preserve"> </w:t>
      </w:r>
      <w:proofErr w:type="spellStart"/>
      <w:r w:rsidRPr="00A94BE1">
        <w:rPr>
          <w:rFonts w:ascii="Palatino Linotype" w:hAnsi="Palatino Linotype"/>
        </w:rPr>
        <w:t>pärast</w:t>
      </w:r>
      <w:proofErr w:type="spellEnd"/>
      <w:r w:rsidRPr="00A94BE1">
        <w:rPr>
          <w:rFonts w:ascii="Palatino Linotype" w:hAnsi="Palatino Linotype"/>
        </w:rPr>
        <w:t xml:space="preserve"> </w:t>
      </w:r>
      <w:proofErr w:type="spellStart"/>
      <w:r w:rsidRPr="00A94BE1">
        <w:rPr>
          <w:rFonts w:ascii="Palatino Linotype" w:hAnsi="Palatino Linotype"/>
        </w:rPr>
        <w:t>pakkumuste</w:t>
      </w:r>
      <w:proofErr w:type="spellEnd"/>
      <w:r w:rsidRPr="00A94BE1">
        <w:rPr>
          <w:rFonts w:ascii="Palatino Linotype" w:hAnsi="Palatino Linotype"/>
        </w:rPr>
        <w:t xml:space="preserve"> </w:t>
      </w:r>
      <w:proofErr w:type="spellStart"/>
      <w:r w:rsidRPr="00A94BE1">
        <w:rPr>
          <w:rFonts w:ascii="Palatino Linotype" w:hAnsi="Palatino Linotype"/>
        </w:rPr>
        <w:t>või</w:t>
      </w:r>
      <w:proofErr w:type="spellEnd"/>
      <w:r w:rsidRPr="00A94BE1">
        <w:rPr>
          <w:rFonts w:ascii="Palatino Linotype" w:hAnsi="Palatino Linotype"/>
        </w:rPr>
        <w:t xml:space="preserve"> </w:t>
      </w:r>
      <w:proofErr w:type="spellStart"/>
      <w:r w:rsidRPr="00A94BE1">
        <w:rPr>
          <w:rFonts w:ascii="Palatino Linotype" w:hAnsi="Palatino Linotype"/>
        </w:rPr>
        <w:t>taotluste</w:t>
      </w:r>
      <w:proofErr w:type="spellEnd"/>
      <w:r w:rsidRPr="00A94BE1">
        <w:rPr>
          <w:rFonts w:ascii="Palatino Linotype" w:hAnsi="Palatino Linotype"/>
        </w:rPr>
        <w:t xml:space="preserve"> </w:t>
      </w:r>
      <w:proofErr w:type="spellStart"/>
      <w:r w:rsidRPr="00A94BE1">
        <w:rPr>
          <w:rFonts w:ascii="Palatino Linotype" w:hAnsi="Palatino Linotype"/>
        </w:rPr>
        <w:t>esitamise</w:t>
      </w:r>
      <w:proofErr w:type="spellEnd"/>
      <w:r w:rsidRPr="00A94BE1">
        <w:rPr>
          <w:rFonts w:ascii="Palatino Linotype" w:hAnsi="Palatino Linotype"/>
        </w:rPr>
        <w:t xml:space="preserve"> </w:t>
      </w:r>
      <w:proofErr w:type="spellStart"/>
      <w:r w:rsidRPr="00A94BE1">
        <w:rPr>
          <w:rFonts w:ascii="Palatino Linotype" w:hAnsi="Palatino Linotype"/>
        </w:rPr>
        <w:t>tähtpäeva</w:t>
      </w:r>
      <w:proofErr w:type="spellEnd"/>
      <w:r w:rsidRPr="00A94BE1">
        <w:rPr>
          <w:rFonts w:ascii="Palatino Linotype" w:hAnsi="Palatino Linotype"/>
        </w:rPr>
        <w:t xml:space="preserve"> </w:t>
      </w:r>
      <w:proofErr w:type="spellStart"/>
      <w:r w:rsidRPr="00A94BE1">
        <w:rPr>
          <w:rFonts w:ascii="Palatino Linotype" w:hAnsi="Palatino Linotype"/>
        </w:rPr>
        <w:t>möödumist</w:t>
      </w:r>
      <w:proofErr w:type="spellEnd"/>
      <w:r w:rsidRPr="00A94BE1">
        <w:rPr>
          <w:rFonts w:ascii="Palatino Linotype" w:hAnsi="Palatino Linotype"/>
        </w:rPr>
        <w:t xml:space="preserve"> </w:t>
      </w:r>
      <w:proofErr w:type="spellStart"/>
      <w:r w:rsidRPr="00A94BE1">
        <w:rPr>
          <w:rFonts w:ascii="Palatino Linotype" w:hAnsi="Palatino Linotype"/>
        </w:rPr>
        <w:t>riigihanke</w:t>
      </w:r>
      <w:proofErr w:type="spellEnd"/>
      <w:r w:rsidRPr="00A94BE1">
        <w:rPr>
          <w:rFonts w:ascii="Palatino Linotype" w:hAnsi="Palatino Linotype"/>
        </w:rPr>
        <w:t xml:space="preserve"> </w:t>
      </w:r>
      <w:proofErr w:type="spellStart"/>
      <w:r w:rsidRPr="00A94BE1">
        <w:rPr>
          <w:rFonts w:ascii="Palatino Linotype" w:hAnsi="Palatino Linotype"/>
        </w:rPr>
        <w:t>alusdokumente</w:t>
      </w:r>
      <w:proofErr w:type="spellEnd"/>
      <w:r w:rsidRPr="00A94BE1">
        <w:rPr>
          <w:rFonts w:ascii="Palatino Linotype" w:hAnsi="Palatino Linotype"/>
        </w:rPr>
        <w:t xml:space="preserve"> </w:t>
      </w:r>
      <w:proofErr w:type="spellStart"/>
      <w:r w:rsidRPr="00A94BE1">
        <w:rPr>
          <w:rFonts w:ascii="Palatino Linotype" w:hAnsi="Palatino Linotype"/>
        </w:rPr>
        <w:t>muutma</w:t>
      </w:r>
      <w:proofErr w:type="spellEnd"/>
      <w:r w:rsidRPr="00A94BE1">
        <w:rPr>
          <w:rStyle w:val="FootnoteReference"/>
          <w:rFonts w:ascii="Palatino Linotype" w:hAnsi="Palatino Linotype"/>
        </w:rPr>
        <w:footnoteReference w:id="1"/>
      </w:r>
      <w:r w:rsidRPr="00A94BE1">
        <w:rPr>
          <w:rFonts w:ascii="Palatino Linotype" w:hAnsi="Palatino Linotype"/>
        </w:rPr>
        <w:t>.</w:t>
      </w:r>
    </w:p>
    <w:p w14:paraId="311F37C1" w14:textId="77777777" w:rsidR="00A94BE1" w:rsidRPr="00A94BE1" w:rsidRDefault="00A94BE1" w:rsidP="00A94BE1">
      <w:pPr>
        <w:pStyle w:val="ListParagraph"/>
        <w:rPr>
          <w:rFonts w:ascii="Palatino Linotype" w:hAnsi="Palatino Linotype"/>
          <w:b/>
          <w:bCs/>
          <w:lang w:val="et-EE"/>
        </w:rPr>
      </w:pPr>
    </w:p>
    <w:p w14:paraId="15AAB3D8"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Võttes arvesse, et käesoleva vaidlustuse esemeks on riigihanke alusdokumendi, s.o ühe kvalifitseerimistingimuse õigusvastasuse tuvastamise ja kehtivate õigusaktidega vastavusse viimise nõue, palub vaidlustaja lugeda riigihanke 287219 peatamise taotluse põhistatuks ning riigihanke 287219 peatada.</w:t>
      </w:r>
    </w:p>
    <w:p w14:paraId="50C218F2" w14:textId="77777777" w:rsidR="00A94BE1" w:rsidRPr="00A94BE1" w:rsidRDefault="00A94BE1" w:rsidP="00A94BE1">
      <w:pPr>
        <w:pStyle w:val="ListParagraph"/>
        <w:ind w:left="426"/>
        <w:jc w:val="both"/>
        <w:rPr>
          <w:rFonts w:ascii="Palatino Linotype" w:hAnsi="Palatino Linotype"/>
          <w:b/>
          <w:bCs/>
          <w:lang w:val="et-EE"/>
        </w:rPr>
      </w:pPr>
    </w:p>
    <w:p w14:paraId="4143CD96"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Menetluslikud teated</w:t>
      </w:r>
    </w:p>
    <w:p w14:paraId="6132CCE1" w14:textId="77777777" w:rsidR="00A94BE1" w:rsidRPr="00A94BE1" w:rsidRDefault="00A94BE1" w:rsidP="00A94BE1">
      <w:pPr>
        <w:pStyle w:val="ListParagraph"/>
        <w:ind w:left="360"/>
        <w:jc w:val="both"/>
        <w:rPr>
          <w:rFonts w:ascii="Palatino Linotype" w:hAnsi="Palatino Linotype"/>
          <w:b/>
          <w:bCs/>
          <w:lang w:val="et-EE"/>
        </w:rPr>
      </w:pPr>
    </w:p>
    <w:p w14:paraId="74EAC853"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Kooskõlas riigilõivu seaduse §  258 p-ga 2 on vaidlustaja tasunud riigilõivu summas 1 280,00 eurot (lisa 2).</w:t>
      </w:r>
    </w:p>
    <w:p w14:paraId="6E140A44" w14:textId="77777777" w:rsidR="00A94BE1" w:rsidRPr="00A94BE1" w:rsidRDefault="00A94BE1" w:rsidP="00A94BE1">
      <w:pPr>
        <w:pStyle w:val="ListParagraph"/>
        <w:ind w:left="426"/>
        <w:jc w:val="both"/>
        <w:rPr>
          <w:rFonts w:ascii="Palatino Linotype" w:hAnsi="Palatino Linotype"/>
          <w:b/>
          <w:bCs/>
          <w:lang w:val="et-EE"/>
        </w:rPr>
      </w:pPr>
    </w:p>
    <w:p w14:paraId="11DAC51F" w14:textId="77777777" w:rsidR="00A94BE1" w:rsidRPr="00A94BE1" w:rsidRDefault="00A94BE1" w:rsidP="00A94BE1">
      <w:pPr>
        <w:pStyle w:val="ListParagraph"/>
        <w:numPr>
          <w:ilvl w:val="0"/>
          <w:numId w:val="1"/>
        </w:numPr>
        <w:jc w:val="both"/>
        <w:rPr>
          <w:rFonts w:ascii="Palatino Linotype" w:hAnsi="Palatino Linotype"/>
          <w:b/>
          <w:bCs/>
          <w:lang w:val="et-EE"/>
        </w:rPr>
      </w:pPr>
      <w:r w:rsidRPr="00A94BE1">
        <w:rPr>
          <w:rFonts w:ascii="Palatino Linotype" w:hAnsi="Palatino Linotype"/>
          <w:b/>
          <w:bCs/>
          <w:lang w:val="et-EE"/>
        </w:rPr>
        <w:t>Kaebuse esitamise tähtajast</w:t>
      </w:r>
    </w:p>
    <w:p w14:paraId="10C8F7D4" w14:textId="77777777" w:rsidR="00A94BE1" w:rsidRPr="00A94BE1" w:rsidRDefault="00A94BE1" w:rsidP="00A94BE1">
      <w:pPr>
        <w:pStyle w:val="ListParagraph"/>
        <w:ind w:left="360"/>
        <w:jc w:val="both"/>
        <w:rPr>
          <w:rFonts w:ascii="Palatino Linotype" w:hAnsi="Palatino Linotype"/>
          <w:b/>
          <w:bCs/>
          <w:lang w:val="et-EE"/>
        </w:rPr>
      </w:pPr>
    </w:p>
    <w:p w14:paraId="08D83106" w14:textId="77777777" w:rsidR="00A94BE1" w:rsidRPr="00A94BE1" w:rsidRDefault="00A94BE1" w:rsidP="00A94BE1">
      <w:pPr>
        <w:pStyle w:val="ListParagraph"/>
        <w:numPr>
          <w:ilvl w:val="1"/>
          <w:numId w:val="1"/>
        </w:numPr>
        <w:ind w:left="426"/>
        <w:jc w:val="both"/>
        <w:rPr>
          <w:rFonts w:ascii="Palatino Linotype" w:hAnsi="Palatino Linotype"/>
          <w:b/>
          <w:bCs/>
          <w:lang w:val="et-EE"/>
        </w:rPr>
      </w:pPr>
      <w:r w:rsidRPr="00A94BE1">
        <w:rPr>
          <w:rFonts w:ascii="Palatino Linotype" w:hAnsi="Palatino Linotype"/>
          <w:lang w:val="et-EE"/>
        </w:rPr>
        <w:t>Vaidlusaluse riigihanke 287219 hankedokumendid on avaldatud Riigihangete infoportaalis 17.02.2025, mistõttu on käesolev kaebus esitatud kooskõlas RHS § 189 lg-s 1 sätestatud tähtajaga.</w:t>
      </w:r>
    </w:p>
    <w:p w14:paraId="68DD5EB6" w14:textId="77777777" w:rsidR="00A94BE1" w:rsidRPr="00A94BE1" w:rsidRDefault="00A94BE1" w:rsidP="00A94BE1">
      <w:pPr>
        <w:pStyle w:val="ListParagraph"/>
        <w:rPr>
          <w:rFonts w:ascii="Palatino Linotype" w:hAnsi="Palatino Linotype"/>
          <w:b/>
          <w:bCs/>
          <w:lang w:val="et-EE"/>
        </w:rPr>
      </w:pPr>
    </w:p>
    <w:p w14:paraId="0F875A6A"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Lisad:</w:t>
      </w:r>
    </w:p>
    <w:p w14:paraId="56A4565E" w14:textId="77777777" w:rsidR="00A94BE1" w:rsidRPr="00A94BE1" w:rsidRDefault="00A94BE1" w:rsidP="00A94BE1">
      <w:pPr>
        <w:pStyle w:val="ListParagraph"/>
        <w:numPr>
          <w:ilvl w:val="0"/>
          <w:numId w:val="2"/>
        </w:numPr>
        <w:jc w:val="both"/>
        <w:rPr>
          <w:rFonts w:ascii="Palatino Linotype" w:hAnsi="Palatino Linotype"/>
          <w:lang w:val="et-EE"/>
        </w:rPr>
      </w:pPr>
      <w:r w:rsidRPr="00A94BE1">
        <w:rPr>
          <w:rFonts w:ascii="Palatino Linotype" w:hAnsi="Palatino Linotype"/>
          <w:lang w:val="et-EE"/>
        </w:rPr>
        <w:t>Tehniline kirjeldus;</w:t>
      </w:r>
    </w:p>
    <w:p w14:paraId="79924763" w14:textId="77777777" w:rsidR="00A94BE1" w:rsidRPr="00A94BE1" w:rsidRDefault="00A94BE1" w:rsidP="00A94BE1">
      <w:pPr>
        <w:pStyle w:val="ListParagraph"/>
        <w:numPr>
          <w:ilvl w:val="0"/>
          <w:numId w:val="2"/>
        </w:numPr>
        <w:jc w:val="both"/>
        <w:rPr>
          <w:rFonts w:ascii="Palatino Linotype" w:hAnsi="Palatino Linotype"/>
          <w:lang w:val="et-EE"/>
        </w:rPr>
      </w:pPr>
      <w:r w:rsidRPr="00A94BE1">
        <w:rPr>
          <w:rFonts w:ascii="Palatino Linotype" w:hAnsi="Palatino Linotype"/>
          <w:lang w:val="et-EE"/>
        </w:rPr>
        <w:t>Koopia maksekorraldusest riigilõivu tasumise kohta.</w:t>
      </w:r>
    </w:p>
    <w:p w14:paraId="7BC988BD" w14:textId="77777777" w:rsidR="00A94BE1" w:rsidRPr="00A94BE1" w:rsidRDefault="00A94BE1" w:rsidP="00A94BE1">
      <w:pPr>
        <w:jc w:val="both"/>
        <w:rPr>
          <w:rFonts w:ascii="Palatino Linotype" w:hAnsi="Palatino Linotype"/>
          <w:sz w:val="22"/>
          <w:szCs w:val="22"/>
          <w:lang w:val="et-EE"/>
        </w:rPr>
      </w:pPr>
    </w:p>
    <w:p w14:paraId="7D8FAA86"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Austusega</w:t>
      </w:r>
    </w:p>
    <w:p w14:paraId="0B8DDE3A" w14:textId="77777777" w:rsidR="00A94BE1" w:rsidRPr="00A94BE1" w:rsidRDefault="00A94BE1" w:rsidP="00A94BE1">
      <w:pPr>
        <w:jc w:val="both"/>
        <w:rPr>
          <w:rFonts w:ascii="Palatino Linotype" w:hAnsi="Palatino Linotype"/>
          <w:sz w:val="22"/>
          <w:szCs w:val="22"/>
          <w:lang w:val="et-EE"/>
        </w:rPr>
      </w:pPr>
    </w:p>
    <w:p w14:paraId="5C93212C" w14:textId="77777777" w:rsidR="00A94BE1" w:rsidRPr="00A94BE1" w:rsidRDefault="00A94BE1" w:rsidP="00A94BE1">
      <w:pPr>
        <w:jc w:val="both"/>
        <w:rPr>
          <w:rFonts w:ascii="Palatino Linotype" w:hAnsi="Palatino Linotype"/>
          <w:i/>
          <w:iCs/>
          <w:sz w:val="22"/>
          <w:szCs w:val="22"/>
          <w:lang w:val="et-EE"/>
        </w:rPr>
      </w:pPr>
      <w:r w:rsidRPr="00A94BE1">
        <w:rPr>
          <w:rFonts w:ascii="Palatino Linotype" w:hAnsi="Palatino Linotype"/>
          <w:i/>
          <w:iCs/>
          <w:sz w:val="22"/>
          <w:szCs w:val="22"/>
          <w:lang w:val="et-EE"/>
        </w:rPr>
        <w:t>/digitaalallkiri/</w:t>
      </w:r>
    </w:p>
    <w:p w14:paraId="136C877A" w14:textId="77777777" w:rsidR="00A94BE1" w:rsidRPr="00A94BE1" w:rsidRDefault="00A94BE1" w:rsidP="00A94BE1">
      <w:pPr>
        <w:jc w:val="both"/>
        <w:rPr>
          <w:rFonts w:ascii="Palatino Linotype" w:hAnsi="Palatino Linotype"/>
          <w:i/>
          <w:iCs/>
          <w:sz w:val="22"/>
          <w:szCs w:val="22"/>
          <w:lang w:val="et-EE"/>
        </w:rPr>
      </w:pPr>
    </w:p>
    <w:p w14:paraId="45961BC7" w14:textId="77777777" w:rsidR="00A94BE1" w:rsidRPr="00A94BE1" w:rsidRDefault="00A94BE1" w:rsidP="00A94BE1">
      <w:pPr>
        <w:jc w:val="both"/>
        <w:rPr>
          <w:rFonts w:ascii="Palatino Linotype" w:hAnsi="Palatino Linotype"/>
          <w:sz w:val="22"/>
          <w:szCs w:val="22"/>
          <w:lang w:val="et-EE"/>
        </w:rPr>
      </w:pPr>
      <w:r w:rsidRPr="00A94BE1">
        <w:rPr>
          <w:rFonts w:ascii="Palatino Linotype" w:hAnsi="Palatino Linotype"/>
          <w:sz w:val="22"/>
          <w:szCs w:val="22"/>
          <w:lang w:val="et-EE"/>
        </w:rPr>
        <w:t>Lauri Valk</w:t>
      </w:r>
    </w:p>
    <w:p w14:paraId="2AB46D92" w14:textId="77777777" w:rsidR="00A94BE1" w:rsidRPr="00A94BE1" w:rsidRDefault="00A94BE1">
      <w:pPr>
        <w:rPr>
          <w:sz w:val="22"/>
          <w:szCs w:val="22"/>
        </w:rPr>
      </w:pPr>
    </w:p>
    <w:sectPr w:rsidR="00A94BE1" w:rsidRPr="00A94B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2026" w14:textId="77777777" w:rsidR="00AB66EE" w:rsidRDefault="00AB66EE" w:rsidP="00A94BE1">
      <w:r>
        <w:separator/>
      </w:r>
    </w:p>
  </w:endnote>
  <w:endnote w:type="continuationSeparator" w:id="0">
    <w:p w14:paraId="165D2BDB" w14:textId="77777777" w:rsidR="00AB66EE" w:rsidRDefault="00AB66EE" w:rsidP="00A9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7484F" w14:textId="77777777" w:rsidR="00AB66EE" w:rsidRDefault="00AB66EE" w:rsidP="00A94BE1">
      <w:r>
        <w:separator/>
      </w:r>
    </w:p>
  </w:footnote>
  <w:footnote w:type="continuationSeparator" w:id="0">
    <w:p w14:paraId="2351DC0F" w14:textId="77777777" w:rsidR="00AB66EE" w:rsidRDefault="00AB66EE" w:rsidP="00A94BE1">
      <w:r>
        <w:continuationSeparator/>
      </w:r>
    </w:p>
  </w:footnote>
  <w:footnote w:id="1">
    <w:p w14:paraId="4027C726" w14:textId="77777777" w:rsidR="00A94BE1" w:rsidRPr="00EB5E20" w:rsidRDefault="00A94BE1" w:rsidP="00A94BE1">
      <w:pPr>
        <w:pStyle w:val="FootnoteText"/>
        <w:rPr>
          <w:lang w:val="et-EE"/>
        </w:rPr>
      </w:pPr>
      <w:r>
        <w:rPr>
          <w:rStyle w:val="FootnoteReference"/>
        </w:rPr>
        <w:footnoteRef/>
      </w:r>
      <w:r>
        <w:t xml:space="preserve"> </w:t>
      </w:r>
      <w:r>
        <w:rPr>
          <w:lang w:val="et-EE"/>
        </w:rPr>
        <w:t>M. A. Simovart ja M. Parind „Riigihangete seadus. Kommenteeritud väljaanne“. Kommentaarid §-le 193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50A28"/>
    <w:multiLevelType w:val="hybridMultilevel"/>
    <w:tmpl w:val="F162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E5249"/>
    <w:multiLevelType w:val="multilevel"/>
    <w:tmpl w:val="15A854E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4368997">
    <w:abstractNumId w:val="1"/>
  </w:num>
  <w:num w:numId="2" w16cid:durableId="127016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E1"/>
    <w:rsid w:val="00176429"/>
    <w:rsid w:val="00384CE8"/>
    <w:rsid w:val="003B729D"/>
    <w:rsid w:val="003F7FAA"/>
    <w:rsid w:val="00464B86"/>
    <w:rsid w:val="00821881"/>
    <w:rsid w:val="008D2112"/>
    <w:rsid w:val="00A94BE1"/>
    <w:rsid w:val="00AB66EE"/>
    <w:rsid w:val="00CA440B"/>
    <w:rsid w:val="00EF420A"/>
    <w:rsid w:val="00F263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DE74"/>
  <w15:chartTrackingRefBased/>
  <w15:docId w15:val="{CD890041-B0F2-E14F-B8D7-68C924B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E1"/>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 level"/>
    <w:basedOn w:val="Normal"/>
    <w:uiPriority w:val="34"/>
    <w:qFormat/>
    <w:rsid w:val="00A94BE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styleId="FootnoteText">
    <w:name w:val="footnote text"/>
    <w:basedOn w:val="Normal"/>
    <w:link w:val="FootnoteTextChar"/>
    <w:uiPriority w:val="99"/>
    <w:semiHidden/>
    <w:unhideWhenUsed/>
    <w:rsid w:val="00A94BE1"/>
    <w:rPr>
      <w:sz w:val="20"/>
      <w:szCs w:val="20"/>
    </w:rPr>
  </w:style>
  <w:style w:type="character" w:customStyle="1" w:styleId="FootnoteTextChar">
    <w:name w:val="Footnote Text Char"/>
    <w:basedOn w:val="DefaultParagraphFont"/>
    <w:link w:val="FootnoteText"/>
    <w:uiPriority w:val="99"/>
    <w:semiHidden/>
    <w:rsid w:val="00A94BE1"/>
    <w:rPr>
      <w:rFonts w:ascii="Times New Roman" w:eastAsia="Arial Unicode MS" w:hAnsi="Times New Roman" w:cs="Times New Roman"/>
      <w:kern w:val="0"/>
      <w:sz w:val="20"/>
      <w:szCs w:val="20"/>
      <w:bdr w:val="nil"/>
      <w:lang w:val="en-US"/>
      <w14:ligatures w14:val="none"/>
    </w:rPr>
  </w:style>
  <w:style w:type="character" w:styleId="FootnoteReference">
    <w:name w:val="footnote reference"/>
    <w:basedOn w:val="DefaultParagraphFont"/>
    <w:uiPriority w:val="99"/>
    <w:semiHidden/>
    <w:unhideWhenUsed/>
    <w:rsid w:val="00A94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Aava</dc:creator>
  <cp:keywords/>
  <dc:description/>
  <cp:lastModifiedBy>Lauri Valk</cp:lastModifiedBy>
  <cp:revision>2</cp:revision>
  <dcterms:created xsi:type="dcterms:W3CDTF">2025-02-26T09:49:00Z</dcterms:created>
  <dcterms:modified xsi:type="dcterms:W3CDTF">2025-02-26T09:49:00Z</dcterms:modified>
</cp:coreProperties>
</file>